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D5539">
        <w:rPr>
          <w:b/>
          <w:sz w:val="24"/>
          <w:szCs w:val="24"/>
        </w:rPr>
        <w:t>ation and action at the July 19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7D5539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July 19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</w:t>
      </w:r>
      <w:r w:rsidR="00E14557">
        <w:rPr>
          <w:b/>
          <w:i/>
          <w:sz w:val="24"/>
          <w:szCs w:val="24"/>
        </w:rPr>
        <w:t xml:space="preserve"> and amended March 1, 2016,</w:t>
      </w:r>
      <w:r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922F83" w:rsidRDefault="00C22040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22F83">
        <w:rPr>
          <w:b/>
          <w:bCs/>
          <w:sz w:val="24"/>
          <w:szCs w:val="24"/>
        </w:rPr>
        <w:t xml:space="preserve">.  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922F83" w:rsidRDefault="00922F83" w:rsidP="00922F83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922F83" w:rsidRPr="00C22040" w:rsidRDefault="00C22040" w:rsidP="00C22040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415601" w:rsidRPr="00C22040">
        <w:rPr>
          <w:b/>
          <w:bCs/>
          <w:sz w:val="24"/>
          <w:szCs w:val="24"/>
        </w:rPr>
        <w:t xml:space="preserve"> </w:t>
      </w:r>
      <w:r w:rsidR="00922F83" w:rsidRPr="00C22040">
        <w:rPr>
          <w:b/>
          <w:bCs/>
          <w:sz w:val="24"/>
          <w:szCs w:val="24"/>
        </w:rPr>
        <w:t>APPOVAL OF CONSENT AGENDA</w:t>
      </w:r>
    </w:p>
    <w:p w:rsidR="00415601" w:rsidRDefault="00415601" w:rsidP="0041560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Approval of</w:t>
      </w:r>
      <w:r w:rsidR="00A959AF">
        <w:rPr>
          <w:b/>
          <w:bCs/>
          <w:sz w:val="24"/>
          <w:szCs w:val="24"/>
        </w:rPr>
        <w:t xml:space="preserve"> Minutes:  Work Session June 14, 2016; Regular Meeting June 28, 2016</w:t>
      </w:r>
    </w:p>
    <w:p w:rsidR="00A959AF" w:rsidRDefault="00A959AF" w:rsidP="0041560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for membership in Bloomingdale Fire Department; John Litterini and Tammy L. DeHaan</w:t>
      </w:r>
    </w:p>
    <w:p w:rsidR="00A959AF" w:rsidRDefault="00A959AF" w:rsidP="0041560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Block Party; 121 Red Twig Trail; 8/13/16 from 2 to 8 p.m.</w:t>
      </w:r>
    </w:p>
    <w:p w:rsidR="00A959AF" w:rsidRDefault="00A959AF" w:rsidP="0041560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Block Party; 47 Fichter Street; 8/20/16 from 1 to 6 p.m.</w:t>
      </w:r>
    </w:p>
    <w:p w:rsidR="00A959AF" w:rsidRDefault="00A959AF" w:rsidP="0041560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congratulating Porta’s Academy for their 50</w:t>
      </w:r>
      <w:r w:rsidRPr="00A959A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Anniversary</w:t>
      </w:r>
    </w:p>
    <w:p w:rsidR="00A408F4" w:rsidRDefault="00A408F4" w:rsidP="00A408F4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C22040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EB553C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A.  ORDINANCES</w:t>
      </w:r>
    </w:p>
    <w:p w:rsidR="00EB553C" w:rsidRDefault="00EB553C" w:rsidP="00EB553C">
      <w:pPr>
        <w:pStyle w:val="ListParagraph"/>
        <w:numPr>
          <w:ilvl w:val="0"/>
          <w:numId w:val="25"/>
        </w:numPr>
        <w:ind w:left="990" w:hanging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public hearing of Ordinance No. 18-2016:  AH1 Overlay zone</w:t>
      </w:r>
    </w:p>
    <w:p w:rsidR="00EB553C" w:rsidRPr="00EB553C" w:rsidRDefault="00EB553C" w:rsidP="00EB553C">
      <w:pPr>
        <w:pStyle w:val="ListParagraph"/>
        <w:numPr>
          <w:ilvl w:val="0"/>
          <w:numId w:val="3"/>
        </w:numPr>
        <w:ind w:left="1440" w:hanging="450"/>
        <w:textAlignment w:val="baseline"/>
        <w:rPr>
          <w:b/>
          <w:bCs/>
          <w:sz w:val="24"/>
          <w:szCs w:val="24"/>
        </w:rPr>
      </w:pPr>
      <w:r w:rsidRPr="00EB553C">
        <w:rPr>
          <w:b/>
          <w:bCs/>
          <w:sz w:val="24"/>
          <w:szCs w:val="24"/>
        </w:rPr>
        <w:t>Public Notice Statement</w:t>
      </w:r>
    </w:p>
    <w:p w:rsidR="00EB553C" w:rsidRPr="00D8194E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EB553C" w:rsidRPr="00D8194E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EB553C" w:rsidRPr="00D8194E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EB553C" w:rsidRDefault="00EB553C" w:rsidP="00EB553C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EB553C" w:rsidRDefault="00EB553C" w:rsidP="00EB553C">
      <w:pPr>
        <w:pStyle w:val="ListParagraph"/>
        <w:numPr>
          <w:ilvl w:val="0"/>
          <w:numId w:val="25"/>
        </w:numPr>
        <w:ind w:left="990" w:hanging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public hearing of Ordinance No. 17-2016:  Improvements at Kampfe Lake</w:t>
      </w:r>
    </w:p>
    <w:p w:rsidR="00EB553C" w:rsidRDefault="00EB553C" w:rsidP="00EB553C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Public Notice Statement</w:t>
      </w:r>
    </w:p>
    <w:p w:rsidR="00EB553C" w:rsidRDefault="00EB553C" w:rsidP="00EB553C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that ordinance be read by title</w:t>
      </w:r>
    </w:p>
    <w:p w:rsidR="00EB553C" w:rsidRDefault="00EB553C" w:rsidP="00EB553C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to open Public Hearing</w:t>
      </w:r>
    </w:p>
    <w:p w:rsidR="00EB553C" w:rsidRDefault="00EB553C" w:rsidP="00EB553C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to close Public Hearing</w:t>
      </w:r>
    </w:p>
    <w:p w:rsidR="00EB553C" w:rsidRDefault="00EB553C" w:rsidP="00EB553C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for Adoption</w:t>
      </w:r>
    </w:p>
    <w:p w:rsidR="00EB553C" w:rsidRDefault="00EB553C" w:rsidP="00EB553C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Adoption of Resolution No. 2016-7.___:  Authorizing Agreement between </w:t>
      </w:r>
    </w:p>
    <w:p w:rsidR="00EB553C" w:rsidRDefault="00EB553C" w:rsidP="00EB553C">
      <w:pPr>
        <w:pStyle w:val="ListParagraph"/>
        <w:ind w:left="13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the Borough of Bloomingdale and Kampfe Lake Association</w:t>
      </w:r>
    </w:p>
    <w:p w:rsidR="00EB553C" w:rsidRDefault="00EB553C" w:rsidP="00EB553C">
      <w:pPr>
        <w:pStyle w:val="ListParagraph"/>
        <w:numPr>
          <w:ilvl w:val="0"/>
          <w:numId w:val="25"/>
        </w:numPr>
        <w:ind w:left="990" w:hanging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and final reading and public hearing of Ordinance No. 16-2016:</w:t>
      </w:r>
    </w:p>
    <w:p w:rsidR="00EB553C" w:rsidRDefault="00EB553C" w:rsidP="00EB553C">
      <w:pPr>
        <w:pStyle w:val="ListParagraph"/>
        <w:ind w:left="99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Handicapped Parking</w:t>
      </w:r>
    </w:p>
    <w:p w:rsidR="00EB553C" w:rsidRDefault="00890082" w:rsidP="00EB553C">
      <w:pPr>
        <w:pStyle w:val="ListParagraph"/>
        <w:numPr>
          <w:ilvl w:val="0"/>
          <w:numId w:val="28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B55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Public Notice Statement</w:t>
      </w:r>
    </w:p>
    <w:p w:rsidR="00890082" w:rsidRDefault="00890082" w:rsidP="00EB553C">
      <w:pPr>
        <w:pStyle w:val="ListParagraph"/>
        <w:numPr>
          <w:ilvl w:val="0"/>
          <w:numId w:val="28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that ordinance be read by title</w:t>
      </w:r>
    </w:p>
    <w:p w:rsidR="00890082" w:rsidRDefault="00890082" w:rsidP="00EB553C">
      <w:pPr>
        <w:pStyle w:val="ListParagraph"/>
        <w:numPr>
          <w:ilvl w:val="0"/>
          <w:numId w:val="28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to open Public Hearing</w:t>
      </w:r>
    </w:p>
    <w:p w:rsidR="00890082" w:rsidRDefault="00890082" w:rsidP="00EB553C">
      <w:pPr>
        <w:pStyle w:val="ListParagraph"/>
        <w:numPr>
          <w:ilvl w:val="0"/>
          <w:numId w:val="28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to close Public Hearing</w:t>
      </w:r>
    </w:p>
    <w:p w:rsidR="00890082" w:rsidRDefault="00890082" w:rsidP="00EB553C">
      <w:pPr>
        <w:pStyle w:val="ListParagraph"/>
        <w:numPr>
          <w:ilvl w:val="0"/>
          <w:numId w:val="28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Motion for Adoption</w:t>
      </w:r>
    </w:p>
    <w:p w:rsidR="00890082" w:rsidRDefault="00890082" w:rsidP="00890082">
      <w:pPr>
        <w:ind w:firstLine="3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  Adoption of Resolution No. 2016-7.___:  Authorization to retain services of Bob </w:t>
      </w:r>
    </w:p>
    <w:p w:rsidR="00890082" w:rsidRDefault="00890082" w:rsidP="00890082">
      <w:pPr>
        <w:ind w:firstLine="3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proofErr w:type="spellStart"/>
      <w:r>
        <w:rPr>
          <w:b/>
          <w:bCs/>
          <w:sz w:val="24"/>
          <w:szCs w:val="24"/>
        </w:rPr>
        <w:t>Buono</w:t>
      </w:r>
      <w:proofErr w:type="spellEnd"/>
      <w:r>
        <w:rPr>
          <w:b/>
          <w:bCs/>
          <w:sz w:val="24"/>
          <w:szCs w:val="24"/>
        </w:rPr>
        <w:t xml:space="preserve"> as Laborer/</w:t>
      </w:r>
      <w:r w:rsidR="00744F67">
        <w:rPr>
          <w:b/>
          <w:bCs/>
          <w:sz w:val="24"/>
          <w:szCs w:val="24"/>
        </w:rPr>
        <w:t>Foreman for</w:t>
      </w:r>
      <w:r>
        <w:rPr>
          <w:b/>
          <w:bCs/>
          <w:sz w:val="24"/>
          <w:szCs w:val="24"/>
        </w:rPr>
        <w:t xml:space="preserve"> Walter T. Bergen Drainage Project - $30,000</w:t>
      </w:r>
    </w:p>
    <w:p w:rsidR="00890082" w:rsidRDefault="00890082" w:rsidP="00890082">
      <w:pPr>
        <w:ind w:firstLine="3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  Discussion in regard to Flood Hazard Permit and Wetlands General Permit </w:t>
      </w:r>
    </w:p>
    <w:p w:rsidR="00890082" w:rsidRPr="00890082" w:rsidRDefault="00890082" w:rsidP="00890082">
      <w:pPr>
        <w:ind w:firstLine="3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Authorization – VMC Property</w:t>
      </w:r>
    </w:p>
    <w:p w:rsidR="005F50DC" w:rsidRDefault="005F50DC" w:rsidP="005F50DC">
      <w:pPr>
        <w:ind w:left="1080"/>
        <w:textAlignment w:val="baseline"/>
        <w:rPr>
          <w:b/>
          <w:bCs/>
          <w:sz w:val="24"/>
          <w:szCs w:val="24"/>
        </w:rPr>
      </w:pPr>
    </w:p>
    <w:p w:rsidR="00922F83" w:rsidRDefault="00C22040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INTRODUCTION OF NEW BUSINESS</w:t>
      </w:r>
    </w:p>
    <w:p w:rsidR="00B20805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593B56">
        <w:rPr>
          <w:b/>
          <w:bCs/>
          <w:sz w:val="24"/>
          <w:szCs w:val="24"/>
        </w:rPr>
        <w:t>lution No. 2016-7</w:t>
      </w:r>
      <w:r>
        <w:rPr>
          <w:b/>
          <w:bCs/>
          <w:sz w:val="24"/>
          <w:szCs w:val="24"/>
        </w:rPr>
        <w:t>.___:  Payment of Bills</w:t>
      </w:r>
    </w:p>
    <w:p w:rsidR="00B20805" w:rsidRDefault="00B20805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by title of Ordinance No. ___-2016:  Quarry Fee Ordinance</w:t>
      </w:r>
    </w:p>
    <w:p w:rsidR="00922F83" w:rsidRPr="005F566E" w:rsidRDefault="00E14557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93B56">
        <w:rPr>
          <w:b/>
          <w:bCs/>
          <w:sz w:val="24"/>
          <w:szCs w:val="24"/>
        </w:rPr>
        <w:t>doption of Resolution No. 2016-7</w:t>
      </w:r>
      <w:r>
        <w:rPr>
          <w:b/>
          <w:bCs/>
          <w:sz w:val="24"/>
          <w:szCs w:val="24"/>
        </w:rPr>
        <w:t xml:space="preserve">.___:  </w:t>
      </w:r>
      <w:r w:rsidR="00922F83" w:rsidRPr="005F566E">
        <w:rPr>
          <w:b/>
          <w:bCs/>
          <w:sz w:val="24"/>
          <w:szCs w:val="24"/>
        </w:rPr>
        <w:t xml:space="preserve"> </w:t>
      </w:r>
      <w:r w:rsidR="00593B56">
        <w:rPr>
          <w:b/>
          <w:bCs/>
          <w:sz w:val="24"/>
          <w:szCs w:val="24"/>
        </w:rPr>
        <w:t>Acknowledging receipt of 2015 Audit Report and Adopting Corrective Action Plan</w:t>
      </w:r>
    </w:p>
    <w:p w:rsidR="004C6039" w:rsidRDefault="004C6039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93B56">
        <w:rPr>
          <w:b/>
          <w:bCs/>
          <w:sz w:val="24"/>
          <w:szCs w:val="24"/>
        </w:rPr>
        <w:t>doption of Resolution 2016-7.___</w:t>
      </w:r>
      <w:r w:rsidR="00415601">
        <w:rPr>
          <w:b/>
          <w:bCs/>
          <w:sz w:val="24"/>
          <w:szCs w:val="24"/>
        </w:rPr>
        <w:t xml:space="preserve">: </w:t>
      </w:r>
      <w:r w:rsidR="00593B56">
        <w:rPr>
          <w:b/>
          <w:bCs/>
          <w:sz w:val="24"/>
          <w:szCs w:val="24"/>
        </w:rPr>
        <w:t xml:space="preserve"> Authorization for Chapter 159; Construction Services for School District of Livingston - $15,331.00</w:t>
      </w:r>
    </w:p>
    <w:p w:rsidR="004C6039" w:rsidRDefault="004C6039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93B56">
        <w:rPr>
          <w:b/>
          <w:bCs/>
          <w:sz w:val="24"/>
          <w:szCs w:val="24"/>
        </w:rPr>
        <w:t>doption of Resolution No. 2016-7</w:t>
      </w:r>
      <w:r>
        <w:rPr>
          <w:b/>
          <w:bCs/>
          <w:sz w:val="24"/>
          <w:szCs w:val="24"/>
        </w:rPr>
        <w:t>.___:</w:t>
      </w:r>
      <w:r w:rsidR="00593B56">
        <w:rPr>
          <w:b/>
          <w:bCs/>
          <w:sz w:val="24"/>
          <w:szCs w:val="24"/>
        </w:rPr>
        <w:t xml:space="preserve">  Opposing increase in County tax levy to support the Passaic County Technical Institute</w:t>
      </w:r>
    </w:p>
    <w:p w:rsidR="00415601" w:rsidRDefault="00415601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</w:t>
      </w:r>
      <w:r w:rsidR="00593B56">
        <w:rPr>
          <w:b/>
          <w:bCs/>
          <w:sz w:val="24"/>
          <w:szCs w:val="24"/>
        </w:rPr>
        <w:t>No. 2016-7</w:t>
      </w:r>
      <w:r w:rsidR="006B0C50">
        <w:rPr>
          <w:b/>
          <w:bCs/>
          <w:sz w:val="24"/>
          <w:szCs w:val="24"/>
        </w:rPr>
        <w:t>.__</w:t>
      </w:r>
      <w:r w:rsidR="00593B56">
        <w:rPr>
          <w:b/>
          <w:bCs/>
          <w:sz w:val="24"/>
          <w:szCs w:val="24"/>
        </w:rPr>
        <w:t xml:space="preserve">_:  Supporting Senate Bill S2440 exempting provisions from the Highland Water Protection Act for construction, </w:t>
      </w:r>
      <w:r w:rsidR="00744F67">
        <w:rPr>
          <w:b/>
          <w:bCs/>
          <w:sz w:val="24"/>
          <w:szCs w:val="24"/>
        </w:rPr>
        <w:t>expansion</w:t>
      </w:r>
      <w:r w:rsidR="00593B56">
        <w:rPr>
          <w:b/>
          <w:bCs/>
          <w:sz w:val="24"/>
          <w:szCs w:val="24"/>
        </w:rPr>
        <w:t xml:space="preserve"> or renovation of Building or structure owned and used by municipality or volunteer Fire Department</w:t>
      </w:r>
    </w:p>
    <w:p w:rsidR="006B0C50" w:rsidRDefault="006B0C50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593B56">
        <w:rPr>
          <w:b/>
          <w:bCs/>
          <w:sz w:val="24"/>
          <w:szCs w:val="24"/>
        </w:rPr>
        <w:t>2016-7.___:  Award of contract to Beyer of Morristown for 2016 RAM 3500 Regular Tradesman 4XL - $34,884</w:t>
      </w:r>
    </w:p>
    <w:p w:rsidR="006B0C50" w:rsidRDefault="00593B56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2016-7.___:  Award of contract to Beyer of Morristown for 2016 Dodge Ram 3500 SLT Mega Cab - $55,497.00</w:t>
      </w:r>
    </w:p>
    <w:p w:rsidR="006B0C50" w:rsidRDefault="006B0C50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</w:t>
      </w:r>
      <w:r w:rsidR="00B20805">
        <w:rPr>
          <w:b/>
          <w:bCs/>
          <w:sz w:val="24"/>
          <w:szCs w:val="24"/>
        </w:rPr>
        <w:t xml:space="preserve">by title </w:t>
      </w:r>
      <w:r>
        <w:rPr>
          <w:b/>
          <w:bCs/>
          <w:sz w:val="24"/>
          <w:szCs w:val="24"/>
        </w:rPr>
        <w:t>of Ordinance No</w:t>
      </w:r>
      <w:r w:rsidR="00593B56">
        <w:rPr>
          <w:b/>
          <w:bCs/>
          <w:sz w:val="24"/>
          <w:szCs w:val="24"/>
        </w:rPr>
        <w:t>. ___-2016:  Banning the Black Bear Hunts</w:t>
      </w:r>
    </w:p>
    <w:p w:rsidR="00593B56" w:rsidRDefault="00593B56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staffing in Police Department</w:t>
      </w:r>
    </w:p>
    <w:p w:rsidR="00593B56" w:rsidRDefault="00593B56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Letter from State of NJ in regard to delay of funding under the NJ Transportation Trust Act</w:t>
      </w:r>
    </w:p>
    <w:p w:rsidR="004C6039" w:rsidRDefault="004C6039" w:rsidP="004C6039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C22040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C22040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EXECUTIVE SESSION</w:t>
      </w:r>
    </w:p>
    <w:p w:rsidR="00744F67" w:rsidRDefault="00744F67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Negotiations – One matter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C22040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C22040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15</w:t>
      </w:r>
      <w:r w:rsidR="00922F83">
        <w:rPr>
          <w:b/>
          <w:bCs/>
          <w:sz w:val="24"/>
          <w:szCs w:val="24"/>
        </w:rPr>
        <w:t>.  GOVERNING BODY SCHEDULE</w:t>
      </w:r>
    </w:p>
    <w:p w:rsidR="00922F83" w:rsidRDefault="00C22040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August 16</w:t>
      </w:r>
      <w:r w:rsidR="00922F83">
        <w:rPr>
          <w:b/>
          <w:bCs/>
          <w:sz w:val="24"/>
          <w:szCs w:val="24"/>
        </w:rPr>
        <w:t>, 2016</w:t>
      </w:r>
      <w:r w:rsidR="00A408F4">
        <w:rPr>
          <w:b/>
          <w:bCs/>
          <w:sz w:val="24"/>
          <w:szCs w:val="24"/>
        </w:rPr>
        <w:t xml:space="preserve"> at 7 p.m.</w:t>
      </w:r>
    </w:p>
    <w:p w:rsidR="006B0C50" w:rsidRDefault="00C22040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Meeting – September</w:t>
      </w:r>
      <w:r w:rsidR="006B0C50">
        <w:rPr>
          <w:b/>
          <w:bCs/>
          <w:sz w:val="24"/>
          <w:szCs w:val="24"/>
        </w:rPr>
        <w:t xml:space="preserve"> 16, 2016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750B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bookmarkStart w:id="0" w:name="_GoBack"/>
      <w:bookmarkEnd w:id="0"/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C22040" w:rsidRDefault="00C22040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895386" w:rsidRPr="00744F67" w:rsidRDefault="00895386" w:rsidP="00895386">
      <w:pPr>
        <w:jc w:val="both"/>
        <w:rPr>
          <w:b/>
          <w:sz w:val="24"/>
          <w:szCs w:val="24"/>
          <w:u w:val="single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48780D" w:rsidRDefault="00E750BC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sectPr w:rsidR="001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86C"/>
    <w:multiLevelType w:val="hybridMultilevel"/>
    <w:tmpl w:val="DDAC9BA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"/>
  </w:num>
  <w:num w:numId="10">
    <w:abstractNumId w:val="14"/>
  </w:num>
  <w:num w:numId="11">
    <w:abstractNumId w:val="9"/>
  </w:num>
  <w:num w:numId="12">
    <w:abstractNumId w:val="25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8"/>
  </w:num>
  <w:num w:numId="18">
    <w:abstractNumId w:val="21"/>
  </w:num>
  <w:num w:numId="19">
    <w:abstractNumId w:val="19"/>
  </w:num>
  <w:num w:numId="20">
    <w:abstractNumId w:val="17"/>
  </w:num>
  <w:num w:numId="21">
    <w:abstractNumId w:val="16"/>
  </w:num>
  <w:num w:numId="22">
    <w:abstractNumId w:val="13"/>
  </w:num>
  <w:num w:numId="23">
    <w:abstractNumId w:val="10"/>
  </w:num>
  <w:num w:numId="24">
    <w:abstractNumId w:val="5"/>
  </w:num>
  <w:num w:numId="25">
    <w:abstractNumId w:val="11"/>
  </w:num>
  <w:num w:numId="26">
    <w:abstractNumId w:val="23"/>
  </w:num>
  <w:num w:numId="27">
    <w:abstractNumId w:val="26"/>
  </w:num>
  <w:num w:numId="28">
    <w:abstractNumId w:val="15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56F2A"/>
    <w:rsid w:val="000A426D"/>
    <w:rsid w:val="00146D32"/>
    <w:rsid w:val="001B268E"/>
    <w:rsid w:val="00213B69"/>
    <w:rsid w:val="00223476"/>
    <w:rsid w:val="0027789A"/>
    <w:rsid w:val="002B42C5"/>
    <w:rsid w:val="002D2C01"/>
    <w:rsid w:val="002D40CD"/>
    <w:rsid w:val="00415601"/>
    <w:rsid w:val="004C6039"/>
    <w:rsid w:val="00593B56"/>
    <w:rsid w:val="005D7377"/>
    <w:rsid w:val="005F50DC"/>
    <w:rsid w:val="005F566E"/>
    <w:rsid w:val="006A10D9"/>
    <w:rsid w:val="006A6CF8"/>
    <w:rsid w:val="006B0C50"/>
    <w:rsid w:val="00744F67"/>
    <w:rsid w:val="007A36C1"/>
    <w:rsid w:val="007C3B53"/>
    <w:rsid w:val="007D5539"/>
    <w:rsid w:val="00890082"/>
    <w:rsid w:val="00895386"/>
    <w:rsid w:val="008A4E37"/>
    <w:rsid w:val="008E1A4F"/>
    <w:rsid w:val="00922F83"/>
    <w:rsid w:val="009F5508"/>
    <w:rsid w:val="00A408F4"/>
    <w:rsid w:val="00A47572"/>
    <w:rsid w:val="00A959AF"/>
    <w:rsid w:val="00B20805"/>
    <w:rsid w:val="00C22040"/>
    <w:rsid w:val="00C43FF3"/>
    <w:rsid w:val="00C64107"/>
    <w:rsid w:val="00CE539E"/>
    <w:rsid w:val="00D051B9"/>
    <w:rsid w:val="00D0750C"/>
    <w:rsid w:val="00DF01BD"/>
    <w:rsid w:val="00E14557"/>
    <w:rsid w:val="00E25B07"/>
    <w:rsid w:val="00E641DE"/>
    <w:rsid w:val="00E750BC"/>
    <w:rsid w:val="00E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89A4-9C94-487A-B5BF-8408FE28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2016-07-15T17:11:00Z</cp:lastPrinted>
  <dcterms:created xsi:type="dcterms:W3CDTF">2016-07-15T17:13:00Z</dcterms:created>
  <dcterms:modified xsi:type="dcterms:W3CDTF">2016-07-15T17:13:00Z</dcterms:modified>
</cp:coreProperties>
</file>